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BASSWOOD CAPITAL</w:t>
        </w:r>
      </w:hyperlink>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MANAGEMENT, L.L.C.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tcPr>
          <w:p>
            <w:pPr>
              <w:ind w:left="40"/>
              <w:spacing w:after="0"/>
              <w:rPr>
                <w:sz w:val="20"/>
                <w:szCs w:val="20"/>
                <w:color w:val="auto"/>
              </w:rPr>
            </w:pPr>
            <w:r>
              <w:rPr>
                <w:rFonts w:ascii="Arial" w:cs="Arial" w:eastAsia="Arial" w:hAnsi="Arial"/>
                <w:sz w:val="13"/>
                <w:szCs w:val="13"/>
                <w:color w:val="auto"/>
              </w:rPr>
              <w:t>(Last)</w:t>
            </w:r>
          </w:p>
        </w:tc>
        <w:tc>
          <w:tcPr>
            <w:tcW w:w="1020" w:type="dxa"/>
            <w:vAlign w:val="bottom"/>
          </w:tcPr>
          <w:p>
            <w:pPr>
              <w:ind w:left="100"/>
              <w:spacing w:after="0"/>
              <w:rPr>
                <w:sz w:val="20"/>
                <w:szCs w:val="20"/>
                <w:color w:val="auto"/>
              </w:rPr>
            </w:pPr>
            <w:r>
              <w:rPr>
                <w:rFonts w:ascii="Arial" w:cs="Arial" w:eastAsia="Arial" w:hAnsi="Arial"/>
                <w:sz w:val="13"/>
                <w:szCs w:val="13"/>
                <w:color w:val="auto"/>
              </w:rPr>
              <w:t>(First)</w:t>
            </w:r>
          </w:p>
        </w:tc>
        <w:tc>
          <w:tcPr>
            <w:tcW w:w="780" w:type="dxa"/>
            <w:vAlign w:val="bottom"/>
          </w:tcPr>
          <w:p>
            <w:pPr>
              <w:ind w:left="300"/>
              <w:spacing w:after="0"/>
              <w:rPr>
                <w:sz w:val="20"/>
                <w:szCs w:val="20"/>
                <w:color w:val="auto"/>
              </w:rPr>
            </w:pPr>
            <w:r>
              <w:rPr>
                <w:rFonts w:ascii="Arial" w:cs="Arial" w:eastAsia="Arial" w:hAnsi="Arial"/>
                <w:sz w:val="13"/>
                <w:szCs w:val="13"/>
                <w:color w:val="auto"/>
                <w:w w:val="97"/>
              </w:rPr>
              <w:t>(Middle)</w:t>
            </w:r>
          </w:p>
        </w:tc>
      </w:tr>
      <w:tr>
        <w:trPr>
          <w:trHeight w:val="277"/>
        </w:trPr>
        <w:tc>
          <w:tcPr>
            <w:tcW w:w="2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645 MADISON AVENUE</w:t>
            </w:r>
          </w:p>
        </w:tc>
        <w:tc>
          <w:tcPr>
            <w:tcW w:w="780" w:type="dxa"/>
            <w:vAlign w:val="bottom"/>
          </w:tcPr>
          <w:p>
            <w:pPr>
              <w:spacing w:after="0"/>
              <w:rPr>
                <w:sz w:val="24"/>
                <w:szCs w:val="24"/>
                <w:color w:val="auto"/>
              </w:rPr>
            </w:pPr>
          </w:p>
        </w:tc>
      </w:tr>
      <w:tr>
        <w:trPr>
          <w:trHeight w:val="267"/>
        </w:trPr>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10TH FLOOR</w:t>
            </w: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443"/>
        </w:trPr>
        <w:tc>
          <w:tcPr>
            <w:tcW w:w="1160" w:type="dxa"/>
            <w:vAlign w:val="bottom"/>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7"/>
        </w:trPr>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NEW YORK</w:t>
            </w:r>
          </w:p>
        </w:tc>
        <w:tc>
          <w:tcPr>
            <w:tcW w:w="10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NY</w:t>
            </w:r>
          </w:p>
        </w:tc>
        <w:tc>
          <w:tcPr>
            <w:tcW w:w="7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10022</w:t>
            </w:r>
          </w:p>
        </w:tc>
      </w:tr>
      <w:tr>
        <w:trPr>
          <w:trHeight w:val="483"/>
        </w:trPr>
        <w:tc>
          <w:tcPr>
            <w:tcW w:w="1160" w:type="dxa"/>
            <w:vAlign w:val="bottom"/>
          </w:tcPr>
          <w:p>
            <w:pPr>
              <w:ind w:left="40"/>
              <w:spacing w:after="0"/>
              <w:rPr>
                <w:sz w:val="20"/>
                <w:szCs w:val="20"/>
                <w:color w:val="auto"/>
              </w:rPr>
            </w:pPr>
            <w:r>
              <w:rPr>
                <w:rFonts w:ascii="Arial" w:cs="Arial" w:eastAsia="Arial" w:hAnsi="Arial"/>
                <w:sz w:val="13"/>
                <w:szCs w:val="13"/>
                <w:color w:val="auto"/>
              </w:rPr>
              <w:t>(City)</w:t>
            </w:r>
          </w:p>
        </w:tc>
        <w:tc>
          <w:tcPr>
            <w:tcW w:w="1020" w:type="dxa"/>
            <w:vAlign w:val="bottom"/>
          </w:tcPr>
          <w:p>
            <w:pPr>
              <w:ind w:left="100"/>
              <w:spacing w:after="0"/>
              <w:rPr>
                <w:sz w:val="20"/>
                <w:szCs w:val="20"/>
                <w:color w:val="auto"/>
              </w:rPr>
            </w:pPr>
            <w:r>
              <w:rPr>
                <w:rFonts w:ascii="Arial" w:cs="Arial" w:eastAsia="Arial" w:hAnsi="Arial"/>
                <w:sz w:val="13"/>
                <w:szCs w:val="13"/>
                <w:color w:val="auto"/>
              </w:rPr>
              <w:t>(State)</w:t>
            </w:r>
          </w:p>
        </w:tc>
        <w:tc>
          <w:tcPr>
            <w:tcW w:w="78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2"/>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Dime Commercial Bancshares, Inc. /NY/ </w:t>
              </w:r>
            </w:hyperlink>
            <w:r>
              <w:rPr>
                <w:rFonts w:ascii="Times New Roman" w:cs="Times New Roman" w:eastAsia="Times New Roman" w:hAnsi="Times New Roman"/>
                <w:sz w:val="21"/>
                <w:szCs w:val="21"/>
                <w:color w:val="000000"/>
              </w:rPr>
              <w:t>[</w:t>
            </w:r>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DCOM </w:t>
            </w:r>
            <w:r>
              <w:rPr>
                <w:rFonts w:ascii="Times New Roman" w:cs="Times New Roman" w:eastAsia="Times New Roman" w:hAnsi="Times New Roman"/>
                <w:sz w:val="21"/>
                <w:szCs w:val="21"/>
                <w:color w:val="000000"/>
              </w:rPr>
              <w:t>]</w:t>
            </w:r>
          </w:p>
        </w:tc>
        <w:tc>
          <w:tcPr>
            <w:tcW w:w="240" w:type="dxa"/>
            <w:vAlign w:val="bottom"/>
            <w:vMerge w:val="restart"/>
          </w:tcPr>
          <w:p>
            <w:pPr>
              <w:spacing w:after="0"/>
              <w:rPr>
                <w:sz w:val="13"/>
                <w:szCs w:val="13"/>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0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3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0000FF"/>
              </w:rPr>
              <w:t>Director-by-Deputization</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74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5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06/18/2026</w:t>
            </w: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0" w:type="dxa"/>
            <w:vAlign w:val="bottom"/>
            <w:tcBorders>
              <w:bottom w:val="single" w:sz="8" w:color="2C2C2C"/>
            </w:tcBorders>
          </w:tcPr>
          <w:p>
            <w:pPr>
              <w:spacing w:after="0"/>
              <w:rPr>
                <w:sz w:val="22"/>
                <w:szCs w:val="22"/>
                <w:color w:val="auto"/>
              </w:rPr>
            </w:pPr>
          </w:p>
        </w:tc>
        <w:tc>
          <w:tcPr>
            <w:tcW w:w="350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33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120" w:space="72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06/18/2026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rPr>
              <w:t>663</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39.02</w:t>
            </w:r>
          </w:p>
        </w:tc>
        <w:tc>
          <w:tcPr>
            <w:tcW w:w="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994,858</w:t>
            </w:r>
          </w:p>
        </w:tc>
        <w:tc>
          <w:tcPr>
            <w:tcW w:w="200" w:type="dxa"/>
            <w:vAlign w:val="bottom"/>
          </w:tcPr>
          <w:p>
            <w:pPr>
              <w:spacing w:after="0"/>
              <w:rPr>
                <w:sz w:val="21"/>
                <w:szCs w:val="21"/>
                <w:color w:val="auto"/>
              </w:rPr>
            </w:pPr>
          </w:p>
        </w:tc>
        <w:tc>
          <w:tcPr>
            <w:tcW w:w="680" w:type="dxa"/>
            <w:vAlign w:val="bottom"/>
            <w:vMerge w:val="restart"/>
          </w:tcPr>
          <w:p>
            <w:pPr>
              <w:jc w:val="center"/>
              <w:ind w:right="187"/>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5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06/18/2026</w:t>
            </w:r>
          </w:p>
        </w:tc>
        <w:tc>
          <w:tcPr>
            <w:tcW w:w="2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top w:val="single" w:sz="8" w:color="2C2C2C"/>
            </w:tcBorders>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8"/>
              </w:rPr>
              <w:t>12,003</w:t>
            </w:r>
          </w:p>
        </w:tc>
        <w:tc>
          <w:tcPr>
            <w:tcW w:w="42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39.02</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982,855</w:t>
            </w: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vMerge w:val="restart"/>
          </w:tcPr>
          <w:p>
            <w:pPr>
              <w:jc w:val="center"/>
              <w:ind w:right="187"/>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06/18/2026</w:t>
            </w:r>
          </w:p>
        </w:tc>
        <w:tc>
          <w:tcPr>
            <w:tcW w:w="2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top w:val="single" w:sz="8" w:color="2C2C2C"/>
            </w:tcBorders>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9"/>
              </w:rPr>
              <w:t>6,030</w:t>
            </w:r>
          </w:p>
        </w:tc>
        <w:tc>
          <w:tcPr>
            <w:tcW w:w="42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39.02</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144,817</w:t>
            </w: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vMerge w:val="restart"/>
          </w:tcPr>
          <w:p>
            <w:pPr>
              <w:jc w:val="center"/>
              <w:ind w:right="187"/>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06/18/2026</w:t>
            </w:r>
          </w:p>
        </w:tc>
        <w:tc>
          <w:tcPr>
            <w:tcW w:w="2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top w:val="single" w:sz="8" w:color="2C2C2C"/>
            </w:tcBorders>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8"/>
              </w:rPr>
              <w:t>13,800</w:t>
            </w:r>
          </w:p>
        </w:tc>
        <w:tc>
          <w:tcPr>
            <w:tcW w:w="42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39.02</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458,433</w:t>
            </w: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vMerge w:val="restart"/>
          </w:tcPr>
          <w:p>
            <w:pPr>
              <w:jc w:val="center"/>
              <w:ind w:right="187"/>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06/18/2026</w:t>
            </w:r>
          </w:p>
        </w:tc>
        <w:tc>
          <w:tcPr>
            <w:tcW w:w="2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top w:val="single" w:sz="8" w:color="2C2C2C"/>
            </w:tcBorders>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rPr>
              <w:t>255</w:t>
            </w:r>
          </w:p>
        </w:tc>
        <w:tc>
          <w:tcPr>
            <w:tcW w:w="42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39.02</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6,785</w:t>
            </w: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vMerge w:val="restart"/>
          </w:tcPr>
          <w:p>
            <w:pPr>
              <w:jc w:val="center"/>
              <w:ind w:right="187"/>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33,919</w:t>
            </w: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vMerge w:val="restart"/>
          </w:tcPr>
          <w:p>
            <w:pPr>
              <w:jc w:val="center"/>
              <w:ind w:right="187"/>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1,545</w:t>
            </w: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vMerge w:val="restart"/>
          </w:tcPr>
          <w:p>
            <w:pPr>
              <w:jc w:val="center"/>
              <w:ind w:right="187"/>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179,380</w:t>
            </w:r>
          </w:p>
        </w:tc>
        <w:tc>
          <w:tcPr>
            <w:tcW w:w="20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jc w:val="center"/>
              <w:ind w:right="187"/>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D</w:t>
            </w:r>
            <w:r>
              <w:rPr>
                <w:rFonts w:ascii="Times New Roman" w:cs="Times New Roman" w:eastAsia="Times New Roman" w:hAnsi="Times New Roman"/>
                <w:sz w:val="11"/>
                <w:szCs w:val="11"/>
                <w:color w:val="008000"/>
                <w:w w:val="90"/>
              </w:rPr>
              <w:t>(1)(8)</w:t>
            </w:r>
          </w:p>
        </w:tc>
        <w:tc>
          <w:tcPr>
            <w:tcW w:w="3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138,282</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87"/>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D</w:t>
            </w:r>
            <w:r>
              <w:rPr>
                <w:rFonts w:ascii="Times New Roman" w:cs="Times New Roman" w:eastAsia="Times New Roman" w:hAnsi="Times New Roman"/>
                <w:sz w:val="11"/>
                <w:szCs w:val="11"/>
                <w:color w:val="008000"/>
                <w:w w:val="90"/>
              </w:rPr>
              <w:t>(1)(9)</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9. Number of    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10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00" w:type="dxa"/>
            <w:vAlign w:val="bottom"/>
          </w:tcPr>
          <w:p>
            <w:pPr>
              <w:spacing w:after="0"/>
              <w:rPr>
                <w:sz w:val="11"/>
                <w:szCs w:val="11"/>
                <w:color w:val="auto"/>
              </w:rPr>
            </w:pPr>
          </w:p>
        </w:tc>
        <w:tc>
          <w:tcPr>
            <w:tcW w:w="10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0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3"/>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BASSWOOD CAPITAL MANAGEMENT,</w:t>
        </w:r>
      </w:hyperlink>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L.L.C.</w:t>
        </w:r>
      </w:hyperlink>
    </w:p>
    <w:p>
      <w:pPr>
        <w:spacing w:after="0" w:line="30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645 MADISON AVENUE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10031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9240" cy="1003109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LINDENBAUM BENNETT D</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BASSWOOD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645 MADISON AVE, 10TH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LINDENBAUM MATTHEW A</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BASSWOOD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645 MADISON AVE, 10TH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BASSWOOD FINANCIAL FUND,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BASSWOOD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645 MADISON AVENUE, 10TH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BASSWOOD OPPORTUNITY PARTNERS,</w:t>
        </w:r>
      </w:hyperlink>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BASSWOOD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645 MADISON AVENUE, 10TH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Basswood Financial Fund, Ltd.</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BASSWOOD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645 MADISON AVENUE, 10TH FLOOR</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500"/>
        <w:spacing w:after="0"/>
        <w:tabs>
          <w:tab w:leader="none" w:pos="2880" w:val="left"/>
        </w:tabs>
        <w:rPr>
          <w:sz w:val="20"/>
          <w:szCs w:val="20"/>
          <w:color w:val="auto"/>
        </w:rPr>
      </w:pP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10022</w:t>
      </w:r>
    </w:p>
    <w:p>
      <w:pPr>
        <w:spacing w:after="0" w:line="33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ectPr>
          <w:pgSz w:w="11900" w:h="16894" w:orient="portrait"/>
          <w:cols w:equalWidth="0" w:num="1">
            <w:col w:w="9979"/>
          </w:cols>
          <w:pgMar w:left="480" w:top="125" w:right="1440" w:bottom="0" w:gutter="0" w:footer="0" w:header="0"/>
        </w:sectPr>
      </w:pPr>
    </w:p>
    <w:bookmarkStart w:id="2" w:name="page3"/>
    <w:bookmarkEnd w:id="2"/>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Exhibit List: Exhibit 99.1 - Explanation of Responses Exhibit 99.2 - Joint Filer Information Exhibit 99.3 - Joint Filers' Signatures</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Basswood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97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480" w:space="260"/>
            <w:col w:w="1440"/>
          </w:cols>
          <w:pgMar w:left="500" w:top="167"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80"/>
          </w:cols>
          <w:pgMar w:left="500" w:top="167" w:right="121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0" w:lineRule="exact"/>
        <w:rPr>
          <w:sz w:val="20"/>
          <w:szCs w:val="20"/>
          <w:color w:val="auto"/>
        </w:rPr>
      </w:pPr>
    </w:p>
    <w:p>
      <w:pPr>
        <w:spacing w:after="0" w:line="283"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21"/>
          <w:szCs w:val="21"/>
          <w:color w:val="auto"/>
        </w:rPr>
        <w:t>Designated Filer:</w:t>
      </w:r>
      <w:r>
        <w:rPr>
          <w:sz w:val="20"/>
          <w:szCs w:val="20"/>
          <w:color w:val="auto"/>
        </w:rPr>
        <w:tab/>
      </w:r>
      <w:r>
        <w:rPr>
          <w:rFonts w:ascii="Times New Roman" w:cs="Times New Roman" w:eastAsia="Times New Roman" w:hAnsi="Times New Roman"/>
          <w:sz w:val="21"/>
          <w:szCs w:val="21"/>
          <w:color w:val="auto"/>
        </w:rPr>
        <w:t>Basswood Capital Management, L.L.C.</w:t>
      </w:r>
    </w:p>
    <w:p>
      <w:pPr>
        <w:spacing w:after="0" w:line="21"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21"/>
          <w:szCs w:val="21"/>
          <w:color w:val="auto"/>
        </w:rPr>
        <w:t>Issuer &amp; Ticker Symbol:</w:t>
      </w:r>
      <w:r>
        <w:rPr>
          <w:sz w:val="20"/>
          <w:szCs w:val="20"/>
          <w:color w:val="auto"/>
        </w:rPr>
        <w:tab/>
      </w:r>
      <w:r>
        <w:rPr>
          <w:rFonts w:ascii="Times New Roman" w:cs="Times New Roman" w:eastAsia="Times New Roman" w:hAnsi="Times New Roman"/>
          <w:sz w:val="21"/>
          <w:szCs w:val="21"/>
          <w:color w:val="auto"/>
        </w:rPr>
        <w:t>Dime Community Bancshares, Inc. [DCOM]</w:t>
      </w:r>
    </w:p>
    <w:p>
      <w:pPr>
        <w:spacing w:after="0"/>
        <w:rPr>
          <w:sz w:val="20"/>
          <w:szCs w:val="20"/>
          <w:color w:val="auto"/>
        </w:rPr>
      </w:pPr>
      <w:r>
        <w:rPr>
          <w:rFonts w:ascii="Times New Roman" w:cs="Times New Roman" w:eastAsia="Times New Roman" w:hAnsi="Times New Roman"/>
          <w:sz w:val="21"/>
          <w:szCs w:val="21"/>
          <w:color w:val="auto"/>
        </w:rPr>
        <w:t>Date of Event Requiring Statement: June 18, 2026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Explanation of Responses:</w:t>
      </w:r>
    </w:p>
    <w:p>
      <w:pPr>
        <w:spacing w:after="0" w:line="238" w:lineRule="exact"/>
        <w:rPr>
          <w:sz w:val="20"/>
          <w:szCs w:val="20"/>
          <w:color w:val="auto"/>
        </w:rPr>
      </w:pPr>
    </w:p>
    <w:p>
      <w:pPr>
        <w:jc w:val="both"/>
        <w:ind w:left="460" w:hanging="307"/>
        <w:spacing w:after="0"/>
        <w:tabs>
          <w:tab w:leader="none" w:pos="4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Form 4 is filed on behalf of Matthew Lindenbaum, Bennett Lindenbaum, Basswood Capital Management, L.L.C. (“BCM”), Basswood Financial Fund, LP (“BFF LP”), Basswood Opportunity Partners, LP (“BOP”) and Basswood Financial Fund, Ltd. (“BFF LTD”) (collectively, the “Reporting Persons”). BCM is the investment manager or adviser to BFF LP, BOP, BFF LTD, Basswood Strategic Financial Fund (“BSFF”) and Basswood Financial Long Only Fund, LP (“BFLOF”) (collectively, the “Funds”) and certain separate managed accounts managed by BCM (the “Managed Accounts”) and may be deemed to have a pecuniary interest in the Common Stock directly held by the Funds and held in the Managed Accounts. Basswood Partners, L.L.C. (“Partners”) is the general partner of BFF LP, BOP, BFLOF, and BSFF, and may be deemed to have a pecuniary interest in the Common Stock held directly by BFF LP, BOP, BFLOF, and BSFF. Matthew Lindenbaum and Bennett Lindenbaum are the managing members of BCM and may be deemed to have a pecuniary interest in the Common Stock directly held by the Funds and held in the Managed Accounts, and also directly hold shares of Common Stock. In accordance with Instruction 4(b)(iv), the entire amount of Common Stock held by the Funds or Managed Accounts are reported herein. Each Reporting Person disclaims beneficial ownership of all shares of Common Stock that are beneficially owned by the Funds or Managed Accounts, except to the extent of any direct or indirect pecuniary interest therein. BCM also disclaims beneficial ownership of the shares held directly by Matthew Lindenbaum and Bennett Lindenbaum. Matthew Lindenbaum and Bennett Lindenbaum each disclaim beneficial ownership of the shares held directly by the other. The inclusion of these securities in this report shall not be deemed an admission of beneficial ownership of any securities reported herein for purposes of Section 16 of the Securities Exchange Act of 1934, as amended (the “Exchange Act”) or otherwise.</w:t>
      </w:r>
    </w:p>
    <w:p>
      <w:pPr>
        <w:spacing w:after="0" w:line="210" w:lineRule="exact"/>
        <w:rPr>
          <w:rFonts w:ascii="Times New Roman" w:cs="Times New Roman" w:eastAsia="Times New Roman" w:hAnsi="Times New Roman"/>
          <w:sz w:val="21"/>
          <w:szCs w:val="21"/>
          <w:color w:val="auto"/>
        </w:rPr>
      </w:pPr>
    </w:p>
    <w:p>
      <w:pPr>
        <w:jc w:val="both"/>
        <w:ind w:left="460"/>
        <w:spacing w:after="0" w:line="25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Matthew Lindenbaum, a managing member of BCM, serves on the board of directors of the Issuer as a representative of the Reporting Persons. As a result, each of the Reporting Persons is a “director-by-deputization” solely for purposes of Section 16 of the Exchange Act. By reason of the provisions of Rule 16a-1 of the Exchange Act, each of the Reporting Persons may be deemed to be a beneficial owner of the shares of Common Stock issued to Matthew Lindenbaum.</w:t>
      </w:r>
    </w:p>
    <w:p>
      <w:pPr>
        <w:spacing w:after="0" w:line="193" w:lineRule="exact"/>
        <w:rPr>
          <w:rFonts w:ascii="Times New Roman" w:cs="Times New Roman" w:eastAsia="Times New Roman" w:hAnsi="Times New Roman"/>
          <w:sz w:val="21"/>
          <w:szCs w:val="21"/>
          <w:color w:val="auto"/>
        </w:rPr>
      </w:pPr>
    </w:p>
    <w:p>
      <w:pPr>
        <w:ind w:left="460" w:hanging="307"/>
        <w:spacing w:after="0"/>
        <w:tabs>
          <w:tab w:leader="none" w:pos="4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held directly by certain separate Managed Accounts managed by BCM.</w:t>
      </w:r>
    </w:p>
    <w:p>
      <w:pPr>
        <w:spacing w:after="0" w:line="238" w:lineRule="exact"/>
        <w:rPr>
          <w:rFonts w:ascii="Times New Roman" w:cs="Times New Roman" w:eastAsia="Times New Roman" w:hAnsi="Times New Roman"/>
          <w:sz w:val="21"/>
          <w:szCs w:val="21"/>
          <w:color w:val="auto"/>
        </w:rPr>
      </w:pPr>
    </w:p>
    <w:p>
      <w:pPr>
        <w:ind w:left="460" w:hanging="307"/>
        <w:spacing w:after="0"/>
        <w:tabs>
          <w:tab w:leader="none" w:pos="4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held directly by BFF LP.</w:t>
      </w:r>
    </w:p>
    <w:p>
      <w:pPr>
        <w:spacing w:after="0" w:line="238" w:lineRule="exact"/>
        <w:rPr>
          <w:rFonts w:ascii="Times New Roman" w:cs="Times New Roman" w:eastAsia="Times New Roman" w:hAnsi="Times New Roman"/>
          <w:sz w:val="21"/>
          <w:szCs w:val="21"/>
          <w:color w:val="auto"/>
        </w:rPr>
      </w:pPr>
    </w:p>
    <w:p>
      <w:pPr>
        <w:ind w:left="460" w:hanging="307"/>
        <w:spacing w:after="0"/>
        <w:tabs>
          <w:tab w:leader="none" w:pos="4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held directly by BOP.</w:t>
      </w:r>
    </w:p>
    <w:p>
      <w:pPr>
        <w:spacing w:after="0" w:line="238" w:lineRule="exact"/>
        <w:rPr>
          <w:rFonts w:ascii="Times New Roman" w:cs="Times New Roman" w:eastAsia="Times New Roman" w:hAnsi="Times New Roman"/>
          <w:sz w:val="21"/>
          <w:szCs w:val="21"/>
          <w:color w:val="auto"/>
        </w:rPr>
      </w:pPr>
    </w:p>
    <w:p>
      <w:pPr>
        <w:ind w:left="460" w:hanging="307"/>
        <w:spacing w:after="0"/>
        <w:tabs>
          <w:tab w:leader="none" w:pos="4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held directly by BFF LTD.</w:t>
      </w:r>
    </w:p>
    <w:p>
      <w:pPr>
        <w:spacing w:after="0" w:line="238" w:lineRule="exact"/>
        <w:rPr>
          <w:rFonts w:ascii="Times New Roman" w:cs="Times New Roman" w:eastAsia="Times New Roman" w:hAnsi="Times New Roman"/>
          <w:sz w:val="21"/>
          <w:szCs w:val="21"/>
          <w:color w:val="auto"/>
        </w:rPr>
      </w:pPr>
    </w:p>
    <w:p>
      <w:pPr>
        <w:ind w:left="460" w:hanging="307"/>
        <w:spacing w:after="0"/>
        <w:tabs>
          <w:tab w:leader="none" w:pos="4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held directly by BFLOF.</w:t>
      </w:r>
    </w:p>
    <w:p>
      <w:pPr>
        <w:spacing w:after="0" w:line="238" w:lineRule="exact"/>
        <w:rPr>
          <w:rFonts w:ascii="Times New Roman" w:cs="Times New Roman" w:eastAsia="Times New Roman" w:hAnsi="Times New Roman"/>
          <w:sz w:val="21"/>
          <w:szCs w:val="21"/>
          <w:color w:val="auto"/>
        </w:rPr>
      </w:pPr>
    </w:p>
    <w:p>
      <w:pPr>
        <w:ind w:left="460" w:hanging="307"/>
        <w:spacing w:after="0"/>
        <w:tabs>
          <w:tab w:leader="none" w:pos="4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held directly by BSFF.</w:t>
      </w:r>
    </w:p>
    <w:p>
      <w:pPr>
        <w:spacing w:after="0" w:line="238" w:lineRule="exact"/>
        <w:rPr>
          <w:rFonts w:ascii="Times New Roman" w:cs="Times New Roman" w:eastAsia="Times New Roman" w:hAnsi="Times New Roman"/>
          <w:sz w:val="21"/>
          <w:szCs w:val="21"/>
          <w:color w:val="auto"/>
        </w:rPr>
      </w:pPr>
    </w:p>
    <w:p>
      <w:pPr>
        <w:jc w:val="both"/>
        <w:ind w:left="460" w:hanging="307"/>
        <w:spacing w:after="0" w:line="256" w:lineRule="auto"/>
        <w:tabs>
          <w:tab w:leader="none" w:pos="4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held directly by Matthew Lindenbaum, which includes 1,865 shares of Common Stock underlying restricted stock unit awards. As of the date hereof, Matthew Lindenbaum also has a short position of 161,015 shares of Common Stock that was entered into prior to Matthew Lindenbaum becoming a reporting person.</w:t>
      </w:r>
    </w:p>
    <w:p>
      <w:pPr>
        <w:spacing w:after="0" w:line="186" w:lineRule="exact"/>
        <w:rPr>
          <w:rFonts w:ascii="Times New Roman" w:cs="Times New Roman" w:eastAsia="Times New Roman" w:hAnsi="Times New Roman"/>
          <w:sz w:val="21"/>
          <w:szCs w:val="21"/>
          <w:color w:val="auto"/>
        </w:rPr>
      </w:pPr>
    </w:p>
    <w:p>
      <w:pPr>
        <w:ind w:left="460" w:right="20" w:hanging="307"/>
        <w:spacing w:after="0" w:line="274" w:lineRule="auto"/>
        <w:tabs>
          <w:tab w:leader="none" w:pos="4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held directly by Bennett Lindenbaum. As of the date hereof, Bennett Lindenbaum also has a short position of 138,281 shares of Common Stock that was entered into prior to Bennett Lindenbaum becoming a reporting person.</w:t>
      </w:r>
    </w:p>
    <w:p>
      <w:pPr>
        <w:sectPr>
          <w:pgSz w:w="11900" w:h="16838" w:orient="portrait"/>
          <w:cols w:equalWidth="0" w:num="1">
            <w:col w:w="10980"/>
          </w:cols>
          <w:pgMar w:left="460" w:top="108" w:right="4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1"/>
          <w:szCs w:val="21"/>
          <w:b w:val="1"/>
          <w:bCs w:val="1"/>
          <w:color w:val="auto"/>
        </w:rPr>
        <w:t>Exhibit 99.2</w:t>
      </w:r>
    </w:p>
    <w:p>
      <w:pPr>
        <w:sectPr>
          <w:pgSz w:w="11900" w:h="16838" w:orient="portrait"/>
          <w:cols w:equalWidth="0" w:num="1">
            <w:col w:w="10980"/>
          </w:cols>
          <w:pgMar w:left="460" w:top="108" w:right="45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Designated Filer: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 &amp; Ticker Symbol:</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Basswood Capital Management,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Dime Community Bancshares, Inc. [DCOM]</w:t>
      </w:r>
    </w:p>
    <w:p>
      <w:pPr>
        <w:spacing w:after="0" w:line="11" w:lineRule="exact"/>
        <w:rPr>
          <w:sz w:val="20"/>
          <w:szCs w:val="20"/>
          <w:color w:val="auto"/>
        </w:rPr>
      </w:pPr>
    </w:p>
    <w:p>
      <w:pPr>
        <w:sectPr>
          <w:pgSz w:w="11900" w:h="16838" w:orient="portrait"/>
          <w:cols w:equalWidth="0" w:num="2">
            <w:col w:w="2400" w:space="720"/>
            <w:col w:w="7860"/>
          </w:cols>
          <w:pgMar w:left="460" w:top="10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Date of Event Requiring Statement: June 18, 2026</w:t>
      </w: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Joint Filer Information</w:t>
      </w:r>
    </w:p>
    <w:p>
      <w:pPr>
        <w:sectPr>
          <w:pgSz w:w="11900" w:h="16838" w:orient="portrait"/>
          <w:cols w:equalWidth="0" w:num="1">
            <w:col w:w="10980"/>
          </w:cols>
          <w:pgMar w:left="460" w:top="108" w:right="45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Filers: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Lindenbaum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c/o Basswood Capital Management,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 Madison Avenue,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ectPr>
          <w:pgSz w:w="11900" w:h="16838" w:orient="portrait"/>
          <w:cols w:equalWidth="0" w:num="2">
            <w:col w:w="860" w:space="360"/>
            <w:col w:w="9760"/>
          </w:cols>
          <w:pgMar w:left="460" w:top="10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2.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Bennett Lindenbaum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c/o Basswood Capital Management,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 Madison Avenue,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ectPr>
          <w:pgSz w:w="11900" w:h="16838" w:orient="portrait"/>
          <w:cols w:equalWidth="0" w:num="2">
            <w:col w:w="660" w:space="560"/>
            <w:col w:w="9760"/>
          </w:cols>
          <w:pgMar w:left="460" w:top="10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3.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Basswood Capital Management,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c/o Basswood Capital Management,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 Madison Avenue,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ectPr>
          <w:pgSz w:w="11900" w:h="16838" w:orient="portrait"/>
          <w:cols w:equalWidth="0" w:num="2">
            <w:col w:w="660" w:space="560"/>
            <w:col w:w="9760"/>
          </w:cols>
          <w:pgMar w:left="460" w:top="10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4.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Basswood Financial Fund, 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c/o Basswood Capital Management,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 Madison Avenue,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ectPr>
          <w:pgSz w:w="11900" w:h="16838" w:orient="portrait"/>
          <w:cols w:equalWidth="0" w:num="2">
            <w:col w:w="660" w:space="560"/>
            <w:col w:w="9760"/>
          </w:cols>
          <w:pgMar w:left="460" w:top="10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5.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Basswood Opportunity Partners, 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c/o Basswood Capital Management,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 Madison Avenue,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ectPr>
          <w:pgSz w:w="11900" w:h="16838" w:orient="portrait"/>
          <w:cols w:equalWidth="0" w:num="2">
            <w:col w:w="660" w:space="560"/>
            <w:col w:w="9760"/>
          </w:cols>
          <w:pgMar w:left="460" w:top="10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6.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Basswood Financial Fund,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c/o Basswood Capital Management,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 Madison Avenue,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ectPr>
          <w:pgSz w:w="11900" w:h="16838" w:orient="portrait"/>
          <w:cols w:equalWidth="0" w:num="2">
            <w:col w:w="660" w:space="560"/>
            <w:col w:w="9760"/>
          </w:cols>
          <w:pgMar w:left="460" w:top="108" w:right="45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1"/>
          <w:szCs w:val="21"/>
          <w:b w:val="1"/>
          <w:bCs w:val="1"/>
          <w:color w:val="auto"/>
        </w:rPr>
        <w:t>Exhibit 99.3</w:t>
      </w:r>
    </w:p>
    <w:p>
      <w:pPr>
        <w:spacing w:after="0" w:line="243"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21"/>
          <w:szCs w:val="21"/>
          <w:color w:val="auto"/>
        </w:rPr>
        <w:t>Designated Filer:</w:t>
      </w:r>
      <w:r>
        <w:rPr>
          <w:sz w:val="20"/>
          <w:szCs w:val="20"/>
          <w:color w:val="auto"/>
        </w:rPr>
        <w:tab/>
      </w:r>
      <w:r>
        <w:rPr>
          <w:rFonts w:ascii="Times New Roman" w:cs="Times New Roman" w:eastAsia="Times New Roman" w:hAnsi="Times New Roman"/>
          <w:sz w:val="21"/>
          <w:szCs w:val="21"/>
          <w:color w:val="auto"/>
        </w:rPr>
        <w:t>Basswood Capital Management, L.L.C.</w:t>
      </w:r>
    </w:p>
    <w:p>
      <w:pPr>
        <w:spacing w:after="0" w:line="21"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21"/>
          <w:szCs w:val="21"/>
          <w:color w:val="auto"/>
        </w:rPr>
        <w:t>Issuer &amp; Ticker Symbol:</w:t>
      </w:r>
      <w:r>
        <w:rPr>
          <w:sz w:val="20"/>
          <w:szCs w:val="20"/>
          <w:color w:val="auto"/>
        </w:rPr>
        <w:tab/>
      </w:r>
      <w:r>
        <w:rPr>
          <w:rFonts w:ascii="Times New Roman" w:cs="Times New Roman" w:eastAsia="Times New Roman" w:hAnsi="Times New Roman"/>
          <w:sz w:val="21"/>
          <w:szCs w:val="21"/>
          <w:color w:val="auto"/>
        </w:rPr>
        <w:t>Dime Community Bancshares, Inc. [DCOM]</w:t>
      </w:r>
    </w:p>
    <w:p>
      <w:pPr>
        <w:spacing w:after="0"/>
        <w:rPr>
          <w:sz w:val="20"/>
          <w:szCs w:val="20"/>
          <w:color w:val="auto"/>
        </w:rPr>
      </w:pPr>
      <w:r>
        <w:rPr>
          <w:rFonts w:ascii="Times New Roman" w:cs="Times New Roman" w:eastAsia="Times New Roman" w:hAnsi="Times New Roman"/>
          <w:sz w:val="21"/>
          <w:szCs w:val="21"/>
          <w:color w:val="auto"/>
        </w:rPr>
        <w:t>Date of Event Requiring Statement: June 18, 2026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b w:val="1"/>
          <w:bCs w:val="1"/>
          <w:color w:val="auto"/>
        </w:rPr>
        <w:t>Joint Filers’ Signatures</w:t>
      </w:r>
    </w:p>
    <w:p>
      <w:pPr>
        <w:spacing w:after="0" w:line="24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/s/ Matthew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-8255</wp:posOffset>
            </wp:positionV>
            <wp:extent cx="25793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2579370" cy="8255"/>
                    </a:xfrm>
                    <a:prstGeom prst="rect">
                      <a:avLst/>
                    </a:prstGeom>
                    <a:noFill/>
                  </pic:spPr>
                </pic:pic>
              </a:graphicData>
            </a:graphic>
          </wp:anchor>
        </w:drawing>
      </w:r>
    </w:p>
    <w:p>
      <w:pPr>
        <w:spacing w:after="0" w:line="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Matthew Lindenbaum</w:t>
      </w:r>
    </w:p>
    <w:p>
      <w:pPr>
        <w:spacing w:after="0" w:line="200" w:lineRule="exact"/>
        <w:rPr>
          <w:sz w:val="20"/>
          <w:szCs w:val="20"/>
          <w:color w:val="auto"/>
        </w:rPr>
      </w:pPr>
    </w:p>
    <w:p>
      <w:pPr>
        <w:spacing w:after="0" w:line="25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/s/ Bennett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-8255</wp:posOffset>
            </wp:positionV>
            <wp:extent cx="2181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2181225" cy="8255"/>
                    </a:xfrm>
                    <a:prstGeom prst="rect">
                      <a:avLst/>
                    </a:prstGeom>
                    <a:noFill/>
                  </pic:spPr>
                </pic:pic>
              </a:graphicData>
            </a:graphic>
          </wp:anchor>
        </w:drawing>
      </w:r>
    </w:p>
    <w:p>
      <w:pPr>
        <w:spacing w:after="0" w:line="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Bennett Lindenbaum</w:t>
      </w:r>
    </w:p>
    <w:p>
      <w:pPr>
        <w:spacing w:after="0" w:line="200" w:lineRule="exact"/>
        <w:rPr>
          <w:sz w:val="20"/>
          <w:szCs w:val="20"/>
          <w:color w:val="auto"/>
        </w:rPr>
      </w:pPr>
    </w:p>
    <w:p>
      <w:pPr>
        <w:spacing w:after="0" w:line="2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b w:val="1"/>
          <w:bCs w:val="1"/>
          <w:color w:val="auto"/>
        </w:rPr>
        <w:t>Basswood Capital Management, L.L.C.</w:t>
      </w:r>
    </w:p>
    <w:p>
      <w:pPr>
        <w:spacing w:after="0" w:line="24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By: /s/ Matthew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-8255</wp:posOffset>
            </wp:positionV>
            <wp:extent cx="25457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Name: Matthew Lindenbaum</w:t>
      </w:r>
    </w:p>
    <w:p>
      <w:pPr>
        <w:ind w:left="4480"/>
        <w:spacing w:after="0"/>
        <w:rPr>
          <w:sz w:val="20"/>
          <w:szCs w:val="20"/>
          <w:color w:val="auto"/>
        </w:rPr>
      </w:pPr>
      <w:r>
        <w:rPr>
          <w:rFonts w:ascii="Times New Roman" w:cs="Times New Roman" w:eastAsia="Times New Roman" w:hAnsi="Times New Roman"/>
          <w:sz w:val="21"/>
          <w:szCs w:val="21"/>
          <w:color w:val="auto"/>
        </w:rPr>
        <w:t>Title: Managing Member</w:t>
      </w:r>
    </w:p>
    <w:p>
      <w:pPr>
        <w:spacing w:after="0" w:line="200" w:lineRule="exact"/>
        <w:rPr>
          <w:sz w:val="20"/>
          <w:szCs w:val="20"/>
          <w:color w:val="auto"/>
        </w:rPr>
      </w:pPr>
    </w:p>
    <w:p>
      <w:pPr>
        <w:spacing w:after="0" w:line="2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b w:val="1"/>
          <w:bCs w:val="1"/>
          <w:color w:val="auto"/>
        </w:rPr>
        <w:t>Basswood Financial Fund, LP</w:t>
      </w:r>
    </w:p>
    <w:p>
      <w:pPr>
        <w:spacing w:after="0" w:line="24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By: Basswood Capital Management, L.L.C.</w:t>
      </w:r>
    </w:p>
    <w:p>
      <w:pPr>
        <w:spacing w:after="0" w:line="23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By: /s/ Matthew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-8255</wp:posOffset>
            </wp:positionV>
            <wp:extent cx="25457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Name: Matthew Lindenbaum</w:t>
      </w:r>
    </w:p>
    <w:p>
      <w:pPr>
        <w:ind w:left="4480"/>
        <w:spacing w:after="0"/>
        <w:rPr>
          <w:sz w:val="20"/>
          <w:szCs w:val="20"/>
          <w:color w:val="auto"/>
        </w:rPr>
      </w:pPr>
      <w:r>
        <w:rPr>
          <w:rFonts w:ascii="Times New Roman" w:cs="Times New Roman" w:eastAsia="Times New Roman" w:hAnsi="Times New Roman"/>
          <w:sz w:val="21"/>
          <w:szCs w:val="21"/>
          <w:color w:val="auto"/>
        </w:rPr>
        <w:t>Title: Managing Member</w:t>
      </w:r>
    </w:p>
    <w:p>
      <w:pPr>
        <w:spacing w:after="0" w:line="200" w:lineRule="exact"/>
        <w:rPr>
          <w:sz w:val="20"/>
          <w:szCs w:val="20"/>
          <w:color w:val="auto"/>
        </w:rPr>
      </w:pPr>
    </w:p>
    <w:p>
      <w:pPr>
        <w:spacing w:after="0" w:line="2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b w:val="1"/>
          <w:bCs w:val="1"/>
          <w:color w:val="auto"/>
        </w:rPr>
        <w:t>Basswood Opportunity Partners, LP</w:t>
      </w:r>
    </w:p>
    <w:p>
      <w:pPr>
        <w:spacing w:after="0" w:line="2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By: Basswood Capital Management, L.L.C.</w:t>
      </w:r>
    </w:p>
    <w:p>
      <w:pPr>
        <w:spacing w:after="0" w:line="21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By: /s/ Matthew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-8255</wp:posOffset>
            </wp:positionV>
            <wp:extent cx="25457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Name: Matthew Lindenbaum</w:t>
      </w:r>
    </w:p>
    <w:p>
      <w:pPr>
        <w:ind w:left="4480"/>
        <w:spacing w:after="0"/>
        <w:rPr>
          <w:sz w:val="20"/>
          <w:szCs w:val="20"/>
          <w:color w:val="auto"/>
        </w:rPr>
      </w:pPr>
      <w:r>
        <w:rPr>
          <w:rFonts w:ascii="Times New Roman" w:cs="Times New Roman" w:eastAsia="Times New Roman" w:hAnsi="Times New Roman"/>
          <w:sz w:val="21"/>
          <w:szCs w:val="21"/>
          <w:color w:val="auto"/>
        </w:rPr>
        <w:t>Title: Managing Member</w:t>
      </w:r>
    </w:p>
    <w:p>
      <w:pPr>
        <w:spacing w:after="0" w:line="200" w:lineRule="exact"/>
        <w:rPr>
          <w:sz w:val="20"/>
          <w:szCs w:val="20"/>
          <w:color w:val="auto"/>
        </w:rPr>
      </w:pPr>
    </w:p>
    <w:p>
      <w:pPr>
        <w:spacing w:after="0" w:line="2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b w:val="1"/>
          <w:bCs w:val="1"/>
          <w:color w:val="auto"/>
        </w:rPr>
        <w:t>Basswood Financial Fund, Ltd.</w:t>
      </w:r>
    </w:p>
    <w:p>
      <w:pPr>
        <w:spacing w:after="0" w:line="26" w:lineRule="exact"/>
        <w:rPr>
          <w:sz w:val="20"/>
          <w:szCs w:val="20"/>
          <w:color w:val="auto"/>
        </w:rPr>
      </w:pPr>
    </w:p>
    <w:p>
      <w:pPr>
        <w:ind w:left="4060"/>
        <w:spacing w:after="0"/>
        <w:tabs>
          <w:tab w:leader="none" w:pos="4520" w:val="left"/>
        </w:tabs>
        <w:rPr>
          <w:sz w:val="20"/>
          <w:szCs w:val="20"/>
          <w:color w:val="auto"/>
        </w:rPr>
      </w:pPr>
      <w:r>
        <w:rPr>
          <w:rFonts w:ascii="Times New Roman" w:cs="Times New Roman" w:eastAsia="Times New Roman" w:hAnsi="Times New Roman"/>
          <w:sz w:val="21"/>
          <w:szCs w:val="21"/>
          <w:color w:val="auto"/>
        </w:rPr>
        <w:t>By:</w:t>
        <w:tab/>
        <w:t>Basswood Capital Management, L.L.C.</w:t>
      </w:r>
    </w:p>
    <w:p>
      <w:pPr>
        <w:spacing w:after="0" w:line="200" w:lineRule="exact"/>
        <w:rPr>
          <w:sz w:val="20"/>
          <w:szCs w:val="20"/>
          <w:color w:val="auto"/>
        </w:rPr>
      </w:pPr>
    </w:p>
    <w:p>
      <w:pPr>
        <w:spacing w:after="0" w:line="25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By: /s/ Matthew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-8255</wp:posOffset>
            </wp:positionV>
            <wp:extent cx="25457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Name: Matthew Lindenbaum</w:t>
      </w:r>
    </w:p>
    <w:p>
      <w:pPr>
        <w:ind w:left="4480"/>
        <w:spacing w:after="0"/>
        <w:rPr>
          <w:sz w:val="20"/>
          <w:szCs w:val="20"/>
          <w:color w:val="auto"/>
        </w:rPr>
      </w:pPr>
      <w:r>
        <w:rPr>
          <w:rFonts w:ascii="Times New Roman" w:cs="Times New Roman" w:eastAsia="Times New Roman" w:hAnsi="Times New Roman"/>
          <w:sz w:val="21"/>
          <w:szCs w:val="21"/>
          <w:color w:val="auto"/>
        </w:rPr>
        <w:t>Title: Managing Member</w:t>
      </w:r>
    </w:p>
    <w:sectPr>
      <w:pgSz w:w="11900" w:h="16838" w:orient="portrait"/>
      <w:cols w:equalWidth="0" w:num="1">
        <w:col w:w="10980"/>
      </w:cols>
      <w:pgMar w:left="460" w:top="1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13" Type="http://schemas.openxmlformats.org/officeDocument/2006/relationships/hyperlink" Target="http://www.sec.gov/cgi-bin/browse-edgar?action=getcompany&amp;CIK=0001085393" TargetMode="External"/><Relationship Id="rId14" Type="http://schemas.openxmlformats.org/officeDocument/2006/relationships/hyperlink" Target="http://www.sec.gov/cgi-bin/browse-edgar?action=getcompany&amp;CIK=0000846617" TargetMode="External"/><Relationship Id="rId17" Type="http://schemas.openxmlformats.org/officeDocument/2006/relationships/hyperlink" Target="http://www.sec.gov/cgi-bin/browse-edgar?action=getcompany&amp;CIK=0000927942" TargetMode="External"/><Relationship Id="rId18" Type="http://schemas.openxmlformats.org/officeDocument/2006/relationships/hyperlink" Target="http://www.sec.gov/cgi-bin/browse-edgar?action=getcompany&amp;CIK=0000927943" TargetMode="External"/><Relationship Id="rId19" Type="http://schemas.openxmlformats.org/officeDocument/2006/relationships/hyperlink" Target="http://www.sec.gov/cgi-bin/browse-edgar?action=getcompany&amp;CIK=0001519641" TargetMode="External"/><Relationship Id="rId20" Type="http://schemas.openxmlformats.org/officeDocument/2006/relationships/hyperlink" Target="http://www.sec.gov/cgi-bin/browse-edgar?action=getcompany&amp;CIK=0001085394" TargetMode="External"/><Relationship Id="rId21" Type="http://schemas.openxmlformats.org/officeDocument/2006/relationships/hyperlink" Target="http://www.sec.gov/cgi-bin/browse-edgar?action=getcompany&amp;CIK=00009477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2026-06-23T15:28:42Z</dcterms:created>
  <dcterms:modified xsi:type="dcterms:W3CDTF">2026-06-23T15:28:42Z</dcterms:modified>
</cp:coreProperties>
</file>